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4686888C" w:rsidR="00B900AE" w:rsidRPr="00464520" w:rsidRDefault="00BF46C9" w:rsidP="007C6468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07B382B4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AC7C4A">
        <w:rPr>
          <w:rFonts w:ascii="Avenir Book" w:hAnsi="Avenir Book" w:cs="Arial"/>
          <w:sz w:val="20"/>
          <w:szCs w:val="20"/>
        </w:rPr>
        <w:t>Maria Teresa Gomez</w:t>
      </w:r>
    </w:p>
    <w:p w14:paraId="4ED39D3C" w14:textId="463EFA14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AC7C4A">
        <w:rPr>
          <w:rFonts w:ascii="Avenir Book" w:hAnsi="Avenir Book" w:cs="Arial"/>
          <w:sz w:val="20"/>
          <w:szCs w:val="20"/>
        </w:rPr>
        <w:t>14</w:t>
      </w:r>
      <w:r w:rsidR="00AC7C4A" w:rsidRPr="00AC7C4A">
        <w:rPr>
          <w:rFonts w:ascii="Avenir Book" w:hAnsi="Avenir Book" w:cs="Arial"/>
          <w:sz w:val="20"/>
          <w:szCs w:val="20"/>
          <w:vertAlign w:val="superscript"/>
        </w:rPr>
        <w:t>th</w:t>
      </w:r>
      <w:r w:rsidR="00AC7C4A">
        <w:rPr>
          <w:rFonts w:ascii="Avenir Book" w:hAnsi="Avenir Book" w:cs="Arial"/>
          <w:sz w:val="20"/>
          <w:szCs w:val="20"/>
        </w:rPr>
        <w:t xml:space="preserve"> October 2024</w:t>
      </w:r>
    </w:p>
    <w:p w14:paraId="368B1B71" w14:textId="77777777" w:rsidR="003E21FF" w:rsidRPr="00AA48C2" w:rsidRDefault="003E21FF" w:rsidP="003E21FF">
      <w:pPr>
        <w:rPr>
          <w:rFonts w:ascii="Avenir Book" w:hAnsi="Avenir Book" w:cs="Arial"/>
          <w:b/>
          <w:bCs/>
          <w:sz w:val="22"/>
          <w:szCs w:val="22"/>
        </w:rPr>
      </w:pPr>
    </w:p>
    <w:p w14:paraId="073E4E41" w14:textId="7073FC96" w:rsidR="00DC632B" w:rsidRPr="00DE59D5" w:rsidRDefault="00B900AE" w:rsidP="00DE59D5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Avenir Book" w:hAnsi="Avenir Book" w:cs="Arial"/>
          <w:sz w:val="26"/>
          <w:szCs w:val="26"/>
        </w:rPr>
      </w:pPr>
      <w:r w:rsidRPr="00AA48C2">
        <w:rPr>
          <w:rFonts w:ascii="Avenir Book" w:hAnsi="Avenir Book" w:cs="Arial"/>
          <w:sz w:val="26"/>
          <w:szCs w:val="26"/>
        </w:rPr>
        <w:t>W</w:t>
      </w:r>
      <w:r w:rsidR="007C6468" w:rsidRPr="00AA48C2">
        <w:rPr>
          <w:rFonts w:ascii="Avenir Book" w:hAnsi="Avenir Book" w:cs="Arial"/>
          <w:sz w:val="26"/>
          <w:szCs w:val="26"/>
        </w:rPr>
        <w:t>ellness</w:t>
      </w:r>
      <w:r w:rsidR="00AA48C2" w:rsidRPr="00AA48C2">
        <w:rPr>
          <w:rFonts w:ascii="Avenir Book" w:hAnsi="Avenir Book" w:cs="Arial"/>
          <w:sz w:val="26"/>
          <w:szCs w:val="26"/>
        </w:rPr>
        <w:t xml:space="preserve"> </w:t>
      </w:r>
      <w:r w:rsidR="007C6468" w:rsidRPr="00AA48C2">
        <w:rPr>
          <w:rFonts w:ascii="Avenir Book" w:hAnsi="Avenir Book" w:cs="Arial"/>
          <w:sz w:val="26"/>
          <w:szCs w:val="26"/>
        </w:rPr>
        <w:t>Plan</w:t>
      </w:r>
      <w:r w:rsidR="004D3710">
        <w:rPr>
          <w:rFonts w:ascii="Avenir Book" w:hAnsi="Avenir Book" w:cs="Arial"/>
          <w:sz w:val="26"/>
          <w:szCs w:val="26"/>
        </w:rPr>
        <w:t xml:space="preserve"> ~</w:t>
      </w: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64DBCD81" w14:textId="5F54E134" w:rsidR="00056D9F" w:rsidRDefault="000D46EA" w:rsidP="00DC632B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 xml:space="preserve">Build on existing goals: </w:t>
      </w:r>
      <w:r w:rsidR="00AC7C4A">
        <w:rPr>
          <w:rFonts w:ascii="Avenir Book" w:hAnsi="Avenir Book" w:cstheme="majorHAnsi"/>
          <w:sz w:val="20"/>
          <w:szCs w:val="20"/>
        </w:rPr>
        <w:t>Continue to choose spray free (or organic) produce where possible</w:t>
      </w:r>
      <w:r>
        <w:rPr>
          <w:rFonts w:ascii="Avenir Book" w:hAnsi="Avenir Book" w:cstheme="majorHAnsi"/>
          <w:sz w:val="20"/>
          <w:szCs w:val="20"/>
        </w:rPr>
        <w:t xml:space="preserve"> and filtered water</w:t>
      </w:r>
      <w:r w:rsidR="00AC7C4A">
        <w:rPr>
          <w:rFonts w:ascii="Avenir Book" w:hAnsi="Avenir Book" w:cstheme="majorHAnsi"/>
          <w:sz w:val="20"/>
          <w:szCs w:val="20"/>
        </w:rPr>
        <w:t xml:space="preserve">. As we know glyphosate </w:t>
      </w:r>
      <w:r>
        <w:rPr>
          <w:rFonts w:ascii="Avenir Book" w:hAnsi="Avenir Book" w:cstheme="majorHAnsi"/>
          <w:sz w:val="20"/>
          <w:szCs w:val="20"/>
        </w:rPr>
        <w:t xml:space="preserve">and fluoride </w:t>
      </w:r>
      <w:r w:rsidR="00AC7C4A">
        <w:rPr>
          <w:rFonts w:ascii="Avenir Book" w:hAnsi="Avenir Book" w:cstheme="majorHAnsi"/>
          <w:sz w:val="20"/>
          <w:szCs w:val="20"/>
        </w:rPr>
        <w:t>can disrupt our gut health, thyroid signalling, and selenium absorption (required for thyroid heath)</w:t>
      </w:r>
      <w:r>
        <w:rPr>
          <w:rFonts w:ascii="Avenir Book" w:hAnsi="Avenir Book" w:cstheme="majorHAnsi"/>
          <w:sz w:val="20"/>
          <w:szCs w:val="20"/>
        </w:rPr>
        <w:t xml:space="preserve">. </w:t>
      </w:r>
    </w:p>
    <w:p w14:paraId="56E00DBB" w14:textId="09EF0A69" w:rsidR="00AC7C4A" w:rsidRPr="005F45E9" w:rsidRDefault="00AC7C4A" w:rsidP="00C70A83">
      <w:pPr>
        <w:pStyle w:val="ListParagraph"/>
        <w:numPr>
          <w:ilvl w:val="0"/>
          <w:numId w:val="15"/>
        </w:numPr>
        <w:rPr>
          <w:rFonts w:ascii="Avenir Book" w:hAnsi="Avenir Book" w:cstheme="majorHAnsi"/>
          <w:color w:val="000000" w:themeColor="text1"/>
          <w:sz w:val="20"/>
          <w:szCs w:val="20"/>
        </w:rPr>
      </w:pPr>
      <w:r w:rsidRPr="005F45E9">
        <w:rPr>
          <w:rFonts w:ascii="Avenir Book" w:hAnsi="Avenir Book" w:cstheme="majorHAnsi"/>
          <w:color w:val="000000" w:themeColor="text1"/>
          <w:sz w:val="20"/>
          <w:szCs w:val="20"/>
        </w:rPr>
        <w:t>Start to include/reach for the vegetables on the hand-out provided. This is to support optimal gut health</w:t>
      </w:r>
      <w:r w:rsidR="00C70A83" w:rsidRPr="005F45E9">
        <w:rPr>
          <w:rFonts w:ascii="Avenir Book" w:hAnsi="Avenir Book" w:cstheme="majorHAnsi"/>
          <w:color w:val="000000" w:themeColor="text1"/>
          <w:sz w:val="20"/>
          <w:szCs w:val="20"/>
        </w:rPr>
        <w:t xml:space="preserve"> (which has a beneficial flow on effect to our immune system) and supports urinary </w:t>
      </w:r>
      <w:proofErr w:type="spellStart"/>
      <w:r w:rsidR="00C70A83" w:rsidRPr="005F45E9">
        <w:rPr>
          <w:rFonts w:ascii="Avenir Book" w:hAnsi="Avenir Book" w:cstheme="majorHAnsi"/>
          <w:color w:val="000000" w:themeColor="text1"/>
          <w:sz w:val="20"/>
          <w:szCs w:val="20"/>
        </w:rPr>
        <w:t>pH.</w:t>
      </w:r>
      <w:proofErr w:type="spellEnd"/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32411182" w14:textId="6CFCC7E6" w:rsidR="00DC632B" w:rsidRDefault="00066828" w:rsidP="00312D1A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88DA7A2" w14:textId="77777777" w:rsidR="00312D1A" w:rsidRPr="00C70A83" w:rsidRDefault="00312D1A" w:rsidP="00312D1A">
      <w:pPr>
        <w:rPr>
          <w:rFonts w:ascii="Avenir Book" w:hAnsi="Avenir Book" w:cs="Arial"/>
          <w:color w:val="5B9BD5" w:themeColor="accent5"/>
          <w:sz w:val="20"/>
          <w:szCs w:val="20"/>
        </w:rPr>
      </w:pPr>
    </w:p>
    <w:p w14:paraId="63DA4C42" w14:textId="6C7DD21D" w:rsidR="000D46EA" w:rsidRPr="00CA4DEE" w:rsidRDefault="000D46EA" w:rsidP="00312D1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CA4DEE">
        <w:rPr>
          <w:sz w:val="22"/>
          <w:szCs w:val="22"/>
        </w:rPr>
        <w:t>Build on existing goals: Continue practicing daily grounding and morning sunlight exposure to support pH balance, reduce inflammation and optimize circadian rhythm</w:t>
      </w:r>
      <w:r w:rsidR="00CA4DEE" w:rsidRPr="00CA4DEE">
        <w:rPr>
          <w:sz w:val="22"/>
          <w:szCs w:val="22"/>
        </w:rPr>
        <w:t xml:space="preserve">, </w:t>
      </w:r>
      <w:r w:rsidRPr="00CA4DEE">
        <w:rPr>
          <w:sz w:val="22"/>
          <w:szCs w:val="22"/>
        </w:rPr>
        <w:t>hormone balance for overall well-being.</w:t>
      </w:r>
    </w:p>
    <w:p w14:paraId="7977C35C" w14:textId="77777777" w:rsidR="000A7141" w:rsidRPr="00464520" w:rsidRDefault="000A7141" w:rsidP="009A5350">
      <w:pPr>
        <w:shd w:val="clear" w:color="auto" w:fill="FFFFFF" w:themeFill="background1"/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464520" w14:paraId="614956EA" w14:textId="77777777" w:rsidTr="00DE59D5">
        <w:trPr>
          <w:trHeight w:val="365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464520" w:rsidRDefault="00312D1A" w:rsidP="00DE59D5">
            <w:pPr>
              <w:shd w:val="clear" w:color="auto" w:fill="FFFFFF" w:themeFill="background1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Supplement 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15BDA73C" w14:textId="77777777" w:rsidTr="00DE59D5">
        <w:trPr>
          <w:trHeight w:val="266"/>
        </w:trPr>
        <w:tc>
          <w:tcPr>
            <w:tcW w:w="2427" w:type="dxa"/>
          </w:tcPr>
          <w:p w14:paraId="44FFDE0C" w14:textId="52D4E6EA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427" w:type="dxa"/>
          </w:tcPr>
          <w:p w14:paraId="26F63CEA" w14:textId="77777777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312D1A">
        <w:trPr>
          <w:trHeight w:val="435"/>
        </w:trPr>
        <w:tc>
          <w:tcPr>
            <w:tcW w:w="2427" w:type="dxa"/>
          </w:tcPr>
          <w:p w14:paraId="27C56A10" w14:textId="0A73041E" w:rsidR="00DC632B" w:rsidRPr="00464520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Cellugenex</w:t>
            </w:r>
          </w:p>
        </w:tc>
        <w:tc>
          <w:tcPr>
            <w:tcW w:w="2427" w:type="dxa"/>
          </w:tcPr>
          <w:p w14:paraId="5B82A34E" w14:textId="238803C2" w:rsidR="00DC632B" w:rsidRPr="00464520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1.5 scoops in water or food (consumed immediately)</w:t>
            </w:r>
          </w:p>
        </w:tc>
        <w:tc>
          <w:tcPr>
            <w:tcW w:w="2431" w:type="dxa"/>
          </w:tcPr>
          <w:p w14:paraId="3DBFC9B8" w14:textId="77777777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1AA5E48" w14:textId="3EF28904" w:rsidR="00DC632B" w:rsidRPr="00464520" w:rsidRDefault="00DC632B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AC7C4A" w:rsidRPr="00464520" w14:paraId="3EE0CE56" w14:textId="77777777" w:rsidTr="00312D1A">
        <w:trPr>
          <w:trHeight w:val="435"/>
        </w:trPr>
        <w:tc>
          <w:tcPr>
            <w:tcW w:w="2427" w:type="dxa"/>
          </w:tcPr>
          <w:p w14:paraId="398B2BBE" w14:textId="326F17C4" w:rsidR="00AC7C4A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Gemmune</w:t>
            </w:r>
            <w:proofErr w:type="spellEnd"/>
            <w:r>
              <w:rPr>
                <w:rFonts w:ascii="Avenir Book" w:hAnsi="Avenir Book" w:cs="Arial"/>
                <w:sz w:val="20"/>
                <w:szCs w:val="20"/>
              </w:rPr>
              <w:t xml:space="preserve"> IB</w:t>
            </w:r>
          </w:p>
        </w:tc>
        <w:tc>
          <w:tcPr>
            <w:tcW w:w="2427" w:type="dxa"/>
          </w:tcPr>
          <w:p w14:paraId="2B19F263" w14:textId="3ACE5315" w:rsidR="00AC7C4A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 capsules</w:t>
            </w:r>
          </w:p>
        </w:tc>
        <w:tc>
          <w:tcPr>
            <w:tcW w:w="2431" w:type="dxa"/>
          </w:tcPr>
          <w:p w14:paraId="1D749C0E" w14:textId="77777777" w:rsidR="00AC7C4A" w:rsidRPr="00464520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D9381A1" w14:textId="13F5F063" w:rsidR="00AC7C4A" w:rsidRPr="00464520" w:rsidRDefault="00AC7C4A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 capsules</w:t>
            </w:r>
          </w:p>
        </w:tc>
      </w:tr>
      <w:tr w:rsidR="003802F7" w:rsidRPr="00464520" w14:paraId="10BCFD5F" w14:textId="77777777" w:rsidTr="00312D1A">
        <w:trPr>
          <w:trHeight w:val="435"/>
        </w:trPr>
        <w:tc>
          <w:tcPr>
            <w:tcW w:w="2427" w:type="dxa"/>
          </w:tcPr>
          <w:p w14:paraId="39077CC5" w14:textId="6E601BB0" w:rsidR="003802F7" w:rsidRDefault="003802F7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Active Elements 4.3</w:t>
            </w:r>
          </w:p>
        </w:tc>
        <w:tc>
          <w:tcPr>
            <w:tcW w:w="2427" w:type="dxa"/>
          </w:tcPr>
          <w:p w14:paraId="6F4A5CF1" w14:textId="64FE3A31" w:rsidR="003802F7" w:rsidRDefault="003802F7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tablet chewed</w:t>
            </w:r>
          </w:p>
        </w:tc>
        <w:tc>
          <w:tcPr>
            <w:tcW w:w="2431" w:type="dxa"/>
          </w:tcPr>
          <w:p w14:paraId="12DC7F6B" w14:textId="73E46CBC" w:rsidR="003802F7" w:rsidRPr="00464520" w:rsidRDefault="003802F7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1 tablet chewed </w:t>
            </w:r>
          </w:p>
        </w:tc>
        <w:tc>
          <w:tcPr>
            <w:tcW w:w="2354" w:type="dxa"/>
          </w:tcPr>
          <w:p w14:paraId="3010D4B5" w14:textId="0EBA2863" w:rsidR="003802F7" w:rsidRDefault="003802F7" w:rsidP="00DE59D5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tablet chewed</w:t>
            </w:r>
          </w:p>
        </w:tc>
      </w:tr>
    </w:tbl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67D9472C" w14:textId="4B334E6B" w:rsidR="000C1F07" w:rsidRPr="001717DA" w:rsidRDefault="000D46EA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b/>
          <w:bCs/>
          <w:sz w:val="20"/>
          <w:szCs w:val="20"/>
        </w:rPr>
        <w:t>Primary</w:t>
      </w:r>
      <w:r w:rsidR="000C1F07" w:rsidRPr="00464520">
        <w:rPr>
          <w:rFonts w:ascii="Avenir Book" w:hAnsi="Avenir Book" w:cs="Arial"/>
          <w:b/>
          <w:bCs/>
          <w:sz w:val="20"/>
          <w:szCs w:val="20"/>
        </w:rPr>
        <w:t xml:space="preserve"> Treatment Aims:</w:t>
      </w:r>
    </w:p>
    <w:p w14:paraId="4435D463" w14:textId="77777777" w:rsidR="003802F7" w:rsidRDefault="003802F7" w:rsidP="003802F7">
      <w:pPr>
        <w:pStyle w:val="ListParagraph"/>
        <w:numPr>
          <w:ilvl w:val="0"/>
          <w:numId w:val="16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Optimise circadian rhythm for both bone and thyroid health </w:t>
      </w:r>
    </w:p>
    <w:p w14:paraId="7313AB9C" w14:textId="7704A73C" w:rsidR="00464520" w:rsidRDefault="003802F7" w:rsidP="003802F7">
      <w:pPr>
        <w:pStyle w:val="ListParagraph"/>
        <w:numPr>
          <w:ilvl w:val="0"/>
          <w:numId w:val="16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Continue grounding/earthing to aid with inflammation/acidity within the </w:t>
      </w:r>
      <w:proofErr w:type="gramStart"/>
      <w:r>
        <w:rPr>
          <w:rFonts w:ascii="Avenir Book" w:hAnsi="Avenir Book" w:cs="Arial"/>
          <w:sz w:val="20"/>
          <w:szCs w:val="20"/>
        </w:rPr>
        <w:t>body;</w:t>
      </w:r>
      <w:proofErr w:type="gramEnd"/>
      <w:r>
        <w:rPr>
          <w:rFonts w:ascii="Avenir Book" w:hAnsi="Avenir Book" w:cs="Arial"/>
          <w:sz w:val="20"/>
          <w:szCs w:val="20"/>
        </w:rPr>
        <w:t xml:space="preserve"> supporting immune/thyroid and bone health</w:t>
      </w:r>
    </w:p>
    <w:p w14:paraId="08909DFD" w14:textId="6985BE84" w:rsidR="003802F7" w:rsidRDefault="003802F7" w:rsidP="003802F7">
      <w:pPr>
        <w:pStyle w:val="ListParagraph"/>
        <w:numPr>
          <w:ilvl w:val="0"/>
          <w:numId w:val="16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Continue reducing dietary toxins (specifically </w:t>
      </w:r>
      <w:r w:rsidRPr="00B55AF1">
        <w:rPr>
          <w:rFonts w:ascii="Avenir Book" w:hAnsi="Avenir Book" w:cs="Arial"/>
          <w:sz w:val="20"/>
          <w:szCs w:val="20"/>
        </w:rPr>
        <w:t>glyphosate</w:t>
      </w:r>
      <w:r>
        <w:rPr>
          <w:rFonts w:ascii="Avenir Book" w:hAnsi="Avenir Book" w:cs="Arial"/>
          <w:sz w:val="20"/>
          <w:szCs w:val="20"/>
        </w:rPr>
        <w:t xml:space="preserve"> and fluoride</w:t>
      </w:r>
      <w:r w:rsidR="000D46EA">
        <w:rPr>
          <w:rFonts w:ascii="Avenir Book" w:hAnsi="Avenir Book" w:cs="Arial"/>
          <w:sz w:val="20"/>
          <w:szCs w:val="20"/>
        </w:rPr>
        <w:t>)</w:t>
      </w:r>
      <w:r w:rsidR="00CA4DEE">
        <w:rPr>
          <w:rFonts w:ascii="Avenir Book" w:hAnsi="Avenir Book" w:cs="Arial"/>
          <w:sz w:val="20"/>
          <w:szCs w:val="20"/>
        </w:rPr>
        <w:t xml:space="preserve">, for thyroid health. </w:t>
      </w:r>
    </w:p>
    <w:p w14:paraId="6D98D0F3" w14:textId="51104DCC" w:rsidR="003802F7" w:rsidRDefault="003802F7" w:rsidP="003802F7">
      <w:pPr>
        <w:pStyle w:val="ListParagraph"/>
        <w:numPr>
          <w:ilvl w:val="0"/>
          <w:numId w:val="16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Addressing Hashimoto’s by ‘turning up’ our protective cell mechanism, ‘turning down’ oxidative stress and excess inflammation and balancing immune system.</w:t>
      </w:r>
      <w:r w:rsidR="00CA4DEE">
        <w:rPr>
          <w:rFonts w:ascii="Avenir Book" w:hAnsi="Avenir Book" w:cs="Arial"/>
          <w:sz w:val="20"/>
          <w:szCs w:val="20"/>
        </w:rPr>
        <w:t xml:space="preserve"> (Cellugenex and </w:t>
      </w:r>
      <w:proofErr w:type="spellStart"/>
      <w:r w:rsidR="00CA4DEE">
        <w:rPr>
          <w:rFonts w:ascii="Avenir Book" w:hAnsi="Avenir Book" w:cs="Arial"/>
          <w:sz w:val="20"/>
          <w:szCs w:val="20"/>
        </w:rPr>
        <w:t>Gemmune</w:t>
      </w:r>
      <w:proofErr w:type="spellEnd"/>
      <w:r w:rsidR="00CA4DEE">
        <w:rPr>
          <w:rFonts w:ascii="Avenir Book" w:hAnsi="Avenir Book" w:cs="Arial"/>
          <w:sz w:val="20"/>
          <w:szCs w:val="20"/>
        </w:rPr>
        <w:t xml:space="preserve"> IB)</w:t>
      </w:r>
    </w:p>
    <w:p w14:paraId="37F58D85" w14:textId="172F8D9F" w:rsidR="00DE59D5" w:rsidRDefault="003802F7" w:rsidP="00DE59D5">
      <w:pPr>
        <w:pStyle w:val="ListParagraph"/>
        <w:numPr>
          <w:ilvl w:val="0"/>
          <w:numId w:val="16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Support bone health by aiding vitamin D status, activate osteoblast (bone building) activity, and lifestyle changes. </w:t>
      </w:r>
      <w:r w:rsidR="00CA4DEE">
        <w:rPr>
          <w:rFonts w:ascii="Avenir Book" w:hAnsi="Avenir Book" w:cs="Arial"/>
          <w:sz w:val="20"/>
          <w:szCs w:val="20"/>
        </w:rPr>
        <w:t>(Cellugenex and Active Elements 4.3)</w:t>
      </w:r>
    </w:p>
    <w:p w14:paraId="2B6276DE" w14:textId="3C5585AA" w:rsidR="003802F7" w:rsidRPr="00DE59D5" w:rsidRDefault="003802F7" w:rsidP="00DE59D5">
      <w:pPr>
        <w:spacing w:after="240"/>
        <w:rPr>
          <w:rFonts w:ascii="Avenir Book" w:hAnsi="Avenir Book" w:cs="Arial"/>
          <w:sz w:val="20"/>
          <w:szCs w:val="20"/>
        </w:rPr>
      </w:pPr>
      <w:r w:rsidRPr="00DE59D5">
        <w:rPr>
          <w:rFonts w:ascii="Avenir Book" w:hAnsi="Avenir Book" w:cs="Arial"/>
          <w:b/>
          <w:bCs/>
          <w:sz w:val="20"/>
          <w:szCs w:val="20"/>
        </w:rPr>
        <w:t>Follow up aims:</w:t>
      </w:r>
    </w:p>
    <w:p w14:paraId="7B76EAE0" w14:textId="77777777" w:rsidR="003802F7" w:rsidRDefault="003802F7" w:rsidP="003802F7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Review progress</w:t>
      </w:r>
      <w:r>
        <w:rPr>
          <w:rFonts w:ascii="Avenir Book" w:hAnsi="Avenir Book" w:cs="Arial"/>
          <w:sz w:val="20"/>
          <w:szCs w:val="20"/>
        </w:rPr>
        <w:t xml:space="preserve"> to wellness – progress and adjust as required</w:t>
      </w:r>
    </w:p>
    <w:p w14:paraId="45F648AC" w14:textId="1BAE7614" w:rsidR="00DE59D5" w:rsidRPr="00CA4DEE" w:rsidRDefault="003802F7" w:rsidP="00DE59D5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Implement final stages of supplement transition </w:t>
      </w:r>
    </w:p>
    <w:p w14:paraId="3FBA001E" w14:textId="77777777" w:rsidR="005F45E9" w:rsidRDefault="005F45E9" w:rsidP="00DE59D5">
      <w:pPr>
        <w:spacing w:after="240"/>
        <w:rPr>
          <w:rFonts w:ascii="Avenir Book" w:hAnsi="Avenir Book" w:cs="Arial"/>
          <w:sz w:val="20"/>
          <w:szCs w:val="20"/>
        </w:rPr>
      </w:pPr>
    </w:p>
    <w:p w14:paraId="60FC0F89" w14:textId="56A62A84" w:rsidR="00D8473F" w:rsidRPr="00DE59D5" w:rsidRDefault="00DE59D5" w:rsidP="00DE59D5">
      <w:p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Next app: 5 weeks </w:t>
      </w:r>
    </w:p>
    <w:sectPr w:rsidR="00D8473F" w:rsidRPr="00DE59D5" w:rsidSect="00AF4ABE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73F5" w14:textId="77777777" w:rsidR="00F12573" w:rsidRDefault="00F12573" w:rsidP="00B900AE">
      <w:r>
        <w:separator/>
      </w:r>
    </w:p>
  </w:endnote>
  <w:endnote w:type="continuationSeparator" w:id="0">
    <w:p w14:paraId="78FCBB81" w14:textId="77777777" w:rsidR="00F12573" w:rsidRDefault="00F12573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4A29" w14:textId="77777777" w:rsidR="00F12573" w:rsidRDefault="00F12573" w:rsidP="00B900AE">
      <w:r>
        <w:separator/>
      </w:r>
    </w:p>
  </w:footnote>
  <w:footnote w:type="continuationSeparator" w:id="0">
    <w:p w14:paraId="5B1F90C7" w14:textId="77777777" w:rsidR="00F12573" w:rsidRDefault="00F12573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4C2C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81808"/>
    <w:multiLevelType w:val="hybridMultilevel"/>
    <w:tmpl w:val="41E2C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3"/>
  </w:num>
  <w:num w:numId="2" w16cid:durableId="1785078665">
    <w:abstractNumId w:val="14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5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  <w:num w:numId="16" w16cid:durableId="1326519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A5F5E"/>
    <w:rsid w:val="000A7141"/>
    <w:rsid w:val="000C1F07"/>
    <w:rsid w:val="000D4244"/>
    <w:rsid w:val="000D46EA"/>
    <w:rsid w:val="0010651B"/>
    <w:rsid w:val="00163D67"/>
    <w:rsid w:val="001717DA"/>
    <w:rsid w:val="00194891"/>
    <w:rsid w:val="001959F3"/>
    <w:rsid w:val="001A218A"/>
    <w:rsid w:val="001A5838"/>
    <w:rsid w:val="00223EFC"/>
    <w:rsid w:val="002528B4"/>
    <w:rsid w:val="0025707B"/>
    <w:rsid w:val="00266C9E"/>
    <w:rsid w:val="002D481A"/>
    <w:rsid w:val="00312D1A"/>
    <w:rsid w:val="00357647"/>
    <w:rsid w:val="003802F7"/>
    <w:rsid w:val="003974DE"/>
    <w:rsid w:val="003E21FF"/>
    <w:rsid w:val="00464520"/>
    <w:rsid w:val="00467253"/>
    <w:rsid w:val="004679D3"/>
    <w:rsid w:val="004D3710"/>
    <w:rsid w:val="004F54A4"/>
    <w:rsid w:val="00550DD0"/>
    <w:rsid w:val="005D68CC"/>
    <w:rsid w:val="005D6B43"/>
    <w:rsid w:val="005F28A5"/>
    <w:rsid w:val="005F45E9"/>
    <w:rsid w:val="00650A4D"/>
    <w:rsid w:val="006E622D"/>
    <w:rsid w:val="007704EE"/>
    <w:rsid w:val="00781A1F"/>
    <w:rsid w:val="007C6468"/>
    <w:rsid w:val="00834EF9"/>
    <w:rsid w:val="00860DCC"/>
    <w:rsid w:val="0088734D"/>
    <w:rsid w:val="008E0697"/>
    <w:rsid w:val="00950893"/>
    <w:rsid w:val="0098205D"/>
    <w:rsid w:val="009A093B"/>
    <w:rsid w:val="009A5350"/>
    <w:rsid w:val="009D256E"/>
    <w:rsid w:val="00A06B08"/>
    <w:rsid w:val="00AA48C2"/>
    <w:rsid w:val="00AC7C4A"/>
    <w:rsid w:val="00AF1B92"/>
    <w:rsid w:val="00AF4ABE"/>
    <w:rsid w:val="00B620A7"/>
    <w:rsid w:val="00B900AE"/>
    <w:rsid w:val="00BD491A"/>
    <w:rsid w:val="00BF46C9"/>
    <w:rsid w:val="00C16B42"/>
    <w:rsid w:val="00C55F7A"/>
    <w:rsid w:val="00C70A83"/>
    <w:rsid w:val="00C95A25"/>
    <w:rsid w:val="00CA4DEE"/>
    <w:rsid w:val="00CB6F94"/>
    <w:rsid w:val="00D16CA7"/>
    <w:rsid w:val="00D51D86"/>
    <w:rsid w:val="00D8473F"/>
    <w:rsid w:val="00DA2792"/>
    <w:rsid w:val="00DC632B"/>
    <w:rsid w:val="00DE59D5"/>
    <w:rsid w:val="00DF0BA7"/>
    <w:rsid w:val="00E03F30"/>
    <w:rsid w:val="00E16FD1"/>
    <w:rsid w:val="00E40D5C"/>
    <w:rsid w:val="00F12573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7</cp:revision>
  <cp:lastPrinted>2023-11-01T07:24:00Z</cp:lastPrinted>
  <dcterms:created xsi:type="dcterms:W3CDTF">2024-10-11T07:13:00Z</dcterms:created>
  <dcterms:modified xsi:type="dcterms:W3CDTF">2024-10-14T00:44:00Z</dcterms:modified>
</cp:coreProperties>
</file>