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DD75" w14:textId="39E4C3F9" w:rsidR="001F592C" w:rsidRP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p>
    <w:p w14:paraId="09B8970A"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Supporting Your Health: Understanding the Role of Activated Folate and B12</w:t>
      </w:r>
      <w:r w:rsidRPr="001F592C">
        <w:rPr>
          <w:rFonts w:ascii="Times New Roman" w:eastAsia="Times New Roman" w:hAnsi="Times New Roman" w:cs="Times New Roman"/>
          <w:kern w:val="0"/>
          <w:sz w:val="24"/>
          <w:szCs w:val="24"/>
          <w:lang w:eastAsia="en-AU"/>
          <w14:ligatures w14:val="none"/>
        </w:rPr>
        <w:br/>
        <w:t>Elizabeth Frances Tojnar</w:t>
      </w:r>
      <w:r w:rsidRPr="001F592C">
        <w:rPr>
          <w:rFonts w:ascii="Times New Roman" w:eastAsia="Times New Roman" w:hAnsi="Times New Roman" w:cs="Times New Roman"/>
          <w:kern w:val="0"/>
          <w:sz w:val="24"/>
          <w:szCs w:val="24"/>
          <w:lang w:eastAsia="en-AU"/>
          <w14:ligatures w14:val="none"/>
        </w:rPr>
        <w:br/>
        <w:t>19 September 2025</w:t>
      </w:r>
    </w:p>
    <w:p w14:paraId="098723B1"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b/>
          <w:bCs/>
          <w:kern w:val="0"/>
          <w:sz w:val="24"/>
          <w:szCs w:val="24"/>
          <w:lang w:eastAsia="en-AU"/>
          <w14:ligatures w14:val="none"/>
        </w:rPr>
        <w:t>Important Note:</w:t>
      </w:r>
      <w:r w:rsidRPr="001F592C">
        <w:rPr>
          <w:rFonts w:ascii="Times New Roman" w:eastAsia="Times New Roman" w:hAnsi="Times New Roman" w:cs="Times New Roman"/>
          <w:kern w:val="0"/>
          <w:sz w:val="24"/>
          <w:szCs w:val="24"/>
          <w:lang w:eastAsia="en-AU"/>
          <w14:ligatures w14:val="none"/>
        </w:rPr>
        <w:br/>
        <w:t>This document is provided for educational and informational purposes only. It is not medical advice, diagnosis, or treatment. Please continue to follow the guidance of your prescribing practitioners. If you have concerns about your medications, including hormone replacement therapy, consult a qualified pharmacist or medical doctor. Providing them with your full medication list may help clarify possible side effects, interactions, and symptom patterns.</w:t>
      </w:r>
    </w:p>
    <w:p w14:paraId="2070F49A"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Please review this content carefully. If any details regarding your health history, current medications, or concerns have been misunderstood or omitted, let me know promptly so these can be updated.</w:t>
      </w:r>
    </w:p>
    <w:p w14:paraId="28646D5F"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Dear Libby,</w:t>
      </w:r>
    </w:p>
    <w:p w14:paraId="2FC49C8C"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You have taken a powerful step by committing to your personalised Metabolic Balance program. This approach is designed to support your body’s natural healing processes through balanced blood sugar, reduced inflammation, and restored metabolic function. Your journey is complex as you are managing long-term autoimmune and vascular conditions. While your medications are essential, they may also influence how your body responds to nutritional therapy. This summary offers a functional medicine perspective on how medications, genetics, and nutrients interact.</w:t>
      </w:r>
    </w:p>
    <w:p w14:paraId="4366BAB0" w14:textId="77777777" w:rsid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 xml:space="preserve">Your current medications play a key role in managing autoimmune, vascular, and inflammatory conditions. Evidence shows that some of these may also affect nutrient metabolism. </w:t>
      </w:r>
    </w:p>
    <w:p w14:paraId="53AF44E7" w14:textId="77777777" w:rsid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b/>
          <w:bCs/>
          <w:kern w:val="0"/>
          <w:sz w:val="24"/>
          <w:szCs w:val="24"/>
          <w:lang w:eastAsia="en-AU"/>
          <w14:ligatures w14:val="none"/>
        </w:rPr>
        <w:t>Methotrexate</w:t>
      </w:r>
      <w:r w:rsidRPr="001F592C">
        <w:rPr>
          <w:rFonts w:ascii="Times New Roman" w:eastAsia="Times New Roman" w:hAnsi="Times New Roman" w:cs="Times New Roman"/>
          <w:kern w:val="0"/>
          <w:sz w:val="24"/>
          <w:szCs w:val="24"/>
          <w:lang w:eastAsia="en-AU"/>
          <w14:ligatures w14:val="none"/>
        </w:rPr>
        <w:t xml:space="preserve"> and </w:t>
      </w:r>
      <w:r w:rsidRPr="001F592C">
        <w:rPr>
          <w:rFonts w:ascii="Times New Roman" w:eastAsia="Times New Roman" w:hAnsi="Times New Roman" w:cs="Times New Roman"/>
          <w:b/>
          <w:bCs/>
          <w:kern w:val="0"/>
          <w:sz w:val="24"/>
          <w:szCs w:val="24"/>
          <w:lang w:eastAsia="en-AU"/>
          <w14:ligatures w14:val="none"/>
        </w:rPr>
        <w:t>trimethoprim</w:t>
      </w:r>
      <w:r w:rsidRPr="001F592C">
        <w:rPr>
          <w:rFonts w:ascii="Times New Roman" w:eastAsia="Times New Roman" w:hAnsi="Times New Roman" w:cs="Times New Roman"/>
          <w:kern w:val="0"/>
          <w:sz w:val="24"/>
          <w:szCs w:val="24"/>
          <w:lang w:eastAsia="en-AU"/>
          <w14:ligatures w14:val="none"/>
        </w:rPr>
        <w:t xml:space="preserve"> both reduce folate availability, increasing the body’s need for active folate and B12. </w:t>
      </w:r>
    </w:p>
    <w:p w14:paraId="6054FB72" w14:textId="77777777" w:rsid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proofErr w:type="spellStart"/>
      <w:r w:rsidRPr="001F592C">
        <w:rPr>
          <w:rFonts w:ascii="Times New Roman" w:eastAsia="Times New Roman" w:hAnsi="Times New Roman" w:cs="Times New Roman"/>
          <w:b/>
          <w:bCs/>
          <w:kern w:val="0"/>
          <w:sz w:val="24"/>
          <w:szCs w:val="24"/>
          <w:lang w:eastAsia="en-AU"/>
          <w14:ligatures w14:val="none"/>
        </w:rPr>
        <w:t>Magafol</w:t>
      </w:r>
      <w:proofErr w:type="spellEnd"/>
      <w:r w:rsidRPr="001F592C">
        <w:rPr>
          <w:rFonts w:ascii="Times New Roman" w:eastAsia="Times New Roman" w:hAnsi="Times New Roman" w:cs="Times New Roman"/>
          <w:b/>
          <w:bCs/>
          <w:kern w:val="0"/>
          <w:sz w:val="24"/>
          <w:szCs w:val="24"/>
          <w:lang w:eastAsia="en-AU"/>
          <w14:ligatures w14:val="none"/>
        </w:rPr>
        <w:t xml:space="preserve"> (folic acid)</w:t>
      </w:r>
      <w:r w:rsidRPr="001F592C">
        <w:rPr>
          <w:rFonts w:ascii="Times New Roman" w:eastAsia="Times New Roman" w:hAnsi="Times New Roman" w:cs="Times New Roman"/>
          <w:kern w:val="0"/>
          <w:sz w:val="24"/>
          <w:szCs w:val="24"/>
          <w:lang w:eastAsia="en-AU"/>
          <w14:ligatures w14:val="none"/>
        </w:rPr>
        <w:t xml:space="preserve"> is prescribed to offset methotrexate-related depletion, but in those with the MTHFR C677T variant, folic acid may not be converted efficiently into its active form. </w:t>
      </w:r>
      <w:r w:rsidRPr="001F592C">
        <w:rPr>
          <w:rFonts w:ascii="Times New Roman" w:eastAsia="Times New Roman" w:hAnsi="Times New Roman" w:cs="Times New Roman"/>
          <w:b/>
          <w:bCs/>
          <w:kern w:val="0"/>
          <w:sz w:val="24"/>
          <w:szCs w:val="24"/>
          <w:lang w:eastAsia="en-AU"/>
          <w14:ligatures w14:val="none"/>
        </w:rPr>
        <w:t xml:space="preserve">Prednisolone </w:t>
      </w:r>
      <w:r w:rsidRPr="001F592C">
        <w:rPr>
          <w:rFonts w:ascii="Times New Roman" w:eastAsia="Times New Roman" w:hAnsi="Times New Roman" w:cs="Times New Roman"/>
          <w:kern w:val="0"/>
          <w:sz w:val="24"/>
          <w:szCs w:val="24"/>
          <w:lang w:eastAsia="en-AU"/>
          <w14:ligatures w14:val="none"/>
        </w:rPr>
        <w:t xml:space="preserve">can affect B vitamins and magnesium. </w:t>
      </w:r>
    </w:p>
    <w:p w14:paraId="0B86D4A4" w14:textId="77777777" w:rsid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b/>
          <w:bCs/>
          <w:kern w:val="0"/>
          <w:sz w:val="24"/>
          <w:szCs w:val="24"/>
          <w:lang w:eastAsia="en-AU"/>
          <w14:ligatures w14:val="none"/>
        </w:rPr>
        <w:t xml:space="preserve">Rosuvastatin </w:t>
      </w:r>
      <w:r w:rsidRPr="001F592C">
        <w:rPr>
          <w:rFonts w:ascii="Times New Roman" w:eastAsia="Times New Roman" w:hAnsi="Times New Roman" w:cs="Times New Roman"/>
          <w:kern w:val="0"/>
          <w:sz w:val="24"/>
          <w:szCs w:val="24"/>
          <w:lang w:eastAsia="en-AU"/>
          <w14:ligatures w14:val="none"/>
        </w:rPr>
        <w:t xml:space="preserve">may impair mitochondrial function and lower CoQ10, contributing to fatigue and muscle symptoms. </w:t>
      </w:r>
    </w:p>
    <w:p w14:paraId="461C2BE2" w14:textId="77777777" w:rsid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b/>
          <w:bCs/>
          <w:kern w:val="0"/>
          <w:sz w:val="24"/>
          <w:szCs w:val="24"/>
          <w:lang w:eastAsia="en-AU"/>
          <w14:ligatures w14:val="none"/>
        </w:rPr>
        <w:t>Ramipril</w:t>
      </w:r>
      <w:r w:rsidRPr="001F592C">
        <w:rPr>
          <w:rFonts w:ascii="Times New Roman" w:eastAsia="Times New Roman" w:hAnsi="Times New Roman" w:cs="Times New Roman"/>
          <w:kern w:val="0"/>
          <w:sz w:val="24"/>
          <w:szCs w:val="24"/>
          <w:lang w:eastAsia="en-AU"/>
          <w14:ligatures w14:val="none"/>
        </w:rPr>
        <w:t xml:space="preserve"> may influence homocysteine levels. </w:t>
      </w:r>
    </w:p>
    <w:p w14:paraId="24B661D4" w14:textId="4E985C5D" w:rsid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b/>
          <w:bCs/>
          <w:kern w:val="0"/>
          <w:sz w:val="24"/>
          <w:szCs w:val="24"/>
          <w:lang w:eastAsia="en-AU"/>
          <w14:ligatures w14:val="none"/>
        </w:rPr>
        <w:t>Aspirin</w:t>
      </w:r>
      <w:r w:rsidRPr="001F592C">
        <w:rPr>
          <w:rFonts w:ascii="Times New Roman" w:eastAsia="Times New Roman" w:hAnsi="Times New Roman" w:cs="Times New Roman"/>
          <w:kern w:val="0"/>
          <w:sz w:val="24"/>
          <w:szCs w:val="24"/>
          <w:lang w:eastAsia="en-AU"/>
          <w14:ligatures w14:val="none"/>
        </w:rPr>
        <w:t xml:space="preserve"> may mildly deplete folate and, together with </w:t>
      </w:r>
      <w:r w:rsidRPr="001F592C">
        <w:rPr>
          <w:rFonts w:ascii="Times New Roman" w:eastAsia="Times New Roman" w:hAnsi="Times New Roman" w:cs="Times New Roman"/>
          <w:b/>
          <w:bCs/>
          <w:kern w:val="0"/>
          <w:sz w:val="24"/>
          <w:szCs w:val="24"/>
          <w:lang w:eastAsia="en-AU"/>
          <w14:ligatures w14:val="none"/>
        </w:rPr>
        <w:t>apixaban,</w:t>
      </w:r>
      <w:r w:rsidRPr="001F592C">
        <w:rPr>
          <w:rFonts w:ascii="Times New Roman" w:eastAsia="Times New Roman" w:hAnsi="Times New Roman" w:cs="Times New Roman"/>
          <w:kern w:val="0"/>
          <w:sz w:val="24"/>
          <w:szCs w:val="24"/>
          <w:lang w:eastAsia="en-AU"/>
          <w14:ligatures w14:val="none"/>
        </w:rPr>
        <w:t xml:space="preserve"> increases bleeding risk. </w:t>
      </w:r>
      <w:proofErr w:type="spellStart"/>
      <w:r w:rsidRPr="001F592C">
        <w:rPr>
          <w:rFonts w:ascii="Times New Roman" w:eastAsia="Times New Roman" w:hAnsi="Times New Roman" w:cs="Times New Roman"/>
          <w:b/>
          <w:bCs/>
          <w:kern w:val="0"/>
          <w:sz w:val="24"/>
          <w:szCs w:val="24"/>
          <w:lang w:eastAsia="en-AU"/>
          <w14:ligatures w14:val="none"/>
        </w:rPr>
        <w:t>Estradiol</w:t>
      </w:r>
      <w:proofErr w:type="spellEnd"/>
      <w:r w:rsidRPr="001F592C">
        <w:rPr>
          <w:rFonts w:ascii="Times New Roman" w:eastAsia="Times New Roman" w:hAnsi="Times New Roman" w:cs="Times New Roman"/>
          <w:kern w:val="0"/>
          <w:sz w:val="24"/>
          <w:szCs w:val="24"/>
          <w:lang w:eastAsia="en-AU"/>
          <w14:ligatures w14:val="none"/>
        </w:rPr>
        <w:t xml:space="preserve"> can influence methylation pathways and vascular tone.</w:t>
      </w:r>
    </w:p>
    <w:p w14:paraId="0B49A73B" w14:textId="77777777" w:rsidR="001F592C" w:rsidRPr="001F592C" w:rsidRDefault="001F592C" w:rsidP="001F592C">
      <w:pPr>
        <w:spacing w:after="0" w:line="240" w:lineRule="auto"/>
        <w:rPr>
          <w:rFonts w:ascii="Times New Roman" w:eastAsia="Times New Roman" w:hAnsi="Times New Roman" w:cs="Times New Roman"/>
          <w:kern w:val="0"/>
          <w:sz w:val="24"/>
          <w:szCs w:val="24"/>
          <w:lang w:eastAsia="en-AU"/>
          <w14:ligatures w14:val="none"/>
        </w:rPr>
      </w:pPr>
    </w:p>
    <w:p w14:paraId="03D3D9FC"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The MTHFR C677T gene variant is associated with reduced conversion of folic acid into active methylfolate. This means that although you are supplementing with folic acid, your body may still benefit from forms such as folinic acid or methylfolate. This is best reviewed with your prescribing team.</w:t>
      </w:r>
    </w:p>
    <w:p w14:paraId="715E5576"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 xml:space="preserve">Your symptoms include brain fog, fragmented sleep, numbness, circulation issues, cramps, glossitis, and ongoing pain. These may be consistent with nutrient depletion, particularly of </w:t>
      </w:r>
      <w:r w:rsidRPr="001F592C">
        <w:rPr>
          <w:rFonts w:ascii="Times New Roman" w:eastAsia="Times New Roman" w:hAnsi="Times New Roman" w:cs="Times New Roman"/>
          <w:kern w:val="0"/>
          <w:sz w:val="24"/>
          <w:szCs w:val="24"/>
          <w:lang w:eastAsia="en-AU"/>
          <w14:ligatures w14:val="none"/>
        </w:rPr>
        <w:lastRenderedPageBreak/>
        <w:t>B12, folate, and magnesium, although they can also arise from other causes. This underlines the need for collaboration with your medical specialists.</w:t>
      </w:r>
    </w:p>
    <w:p w14:paraId="4B01838E"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 xml:space="preserve">To support methylation and reduce possible nutrient depletion, an activated B-complex may be considered. A formula containing methylfolate or folinic acid, </w:t>
      </w:r>
      <w:proofErr w:type="spellStart"/>
      <w:r w:rsidRPr="001F592C">
        <w:rPr>
          <w:rFonts w:ascii="Times New Roman" w:eastAsia="Times New Roman" w:hAnsi="Times New Roman" w:cs="Times New Roman"/>
          <w:kern w:val="0"/>
          <w:sz w:val="24"/>
          <w:szCs w:val="24"/>
          <w:lang w:eastAsia="en-AU"/>
          <w14:ligatures w14:val="none"/>
        </w:rPr>
        <w:t>methylcobalamin</w:t>
      </w:r>
      <w:proofErr w:type="spellEnd"/>
      <w:r w:rsidRPr="001F592C">
        <w:rPr>
          <w:rFonts w:ascii="Times New Roman" w:eastAsia="Times New Roman" w:hAnsi="Times New Roman" w:cs="Times New Roman"/>
          <w:kern w:val="0"/>
          <w:sz w:val="24"/>
          <w:szCs w:val="24"/>
          <w:lang w:eastAsia="en-AU"/>
          <w14:ligatures w14:val="none"/>
        </w:rPr>
        <w:t>, and pyridoxal-5-phosphate (active B6), along with bioavailable riboflavin and niacin, may help bypass genetic blocks and support neurological and cardiovascular health. This is provided as an example and is not a prescription. Suitability should always be confirmed with your doctor.</w:t>
      </w:r>
    </w:p>
    <w:p w14:paraId="1420C9D0"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From a nutritional and functional medicine perspective, the following points may be useful to discuss with your healthcare team. These include reviewing whether synthetic folic acid could be replaced with an activated form, considering active B12 and B6 for neurological support, exploring magnesium glycinate for cramps, mood, and sleep, reassessing the need for trimethoprim, and discussing mitochondrial support such as CoQ10, NAC, or alpha-lipoic acid. Continuing your Metabolic Balance nutrition plan is important as it provides the foundation for your health journey.</w:t>
      </w:r>
    </w:p>
    <w:p w14:paraId="01BB68CB" w14:textId="0DAFD5EB" w:rsidR="000C2C3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These considerations are supported by published research, including studies on folate supplementation in methotrexate therapy, evidence-based recommendations for methotrexate use, and information regarding folinic acid and methylfolate in individuals with MTHFR variants.</w:t>
      </w:r>
    </w:p>
    <w:p w14:paraId="75D0CA16"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Libby, your commitment to your health is clear. With the Metabolic Balance program and by working closely with your prescribing team, you can take meaningful steps towards improving your energy, mood, and resilience. I will continue to support you with education and guidance, and I encourage you to discuss all recommendations with your medical professionals before making changes.</w:t>
      </w:r>
    </w:p>
    <w:p w14:paraId="65E5ACC5" w14:textId="77777777" w:rsidR="001F592C" w:rsidRPr="001F592C" w:rsidRDefault="001F592C" w:rsidP="001F592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F592C">
        <w:rPr>
          <w:rFonts w:ascii="Times New Roman" w:eastAsia="Times New Roman" w:hAnsi="Times New Roman" w:cs="Times New Roman"/>
          <w:kern w:val="0"/>
          <w:sz w:val="24"/>
          <w:szCs w:val="24"/>
          <w:lang w:eastAsia="en-AU"/>
          <w14:ligatures w14:val="none"/>
        </w:rPr>
        <w:t>With care and respect,</w:t>
      </w:r>
      <w:r w:rsidRPr="001F592C">
        <w:rPr>
          <w:rFonts w:ascii="Times New Roman" w:eastAsia="Times New Roman" w:hAnsi="Times New Roman" w:cs="Times New Roman"/>
          <w:kern w:val="0"/>
          <w:sz w:val="24"/>
          <w:szCs w:val="24"/>
          <w:lang w:eastAsia="en-AU"/>
          <w14:ligatures w14:val="none"/>
        </w:rPr>
        <w:br/>
        <w:t>Jodie Studley</w:t>
      </w:r>
      <w:r w:rsidRPr="001F592C">
        <w:rPr>
          <w:rFonts w:ascii="Times New Roman" w:eastAsia="Times New Roman" w:hAnsi="Times New Roman" w:cs="Times New Roman"/>
          <w:kern w:val="0"/>
          <w:sz w:val="24"/>
          <w:szCs w:val="24"/>
          <w:lang w:eastAsia="en-AU"/>
          <w14:ligatures w14:val="none"/>
        </w:rPr>
        <w:br/>
        <w:t>Cherish Natural Health</w:t>
      </w:r>
    </w:p>
    <w:p w14:paraId="4F0F5422" w14:textId="77777777" w:rsidR="000C2C3C" w:rsidRDefault="000C2C3C" w:rsidP="000C2C3C">
      <w:pPr>
        <w:pStyle w:val="NormalWeb"/>
      </w:pPr>
      <w:r>
        <w:t>References (for your information):</w:t>
      </w:r>
    </w:p>
    <w:p w14:paraId="1A1B6F73" w14:textId="77777777" w:rsidR="000C2C3C" w:rsidRDefault="000C2C3C" w:rsidP="000C2C3C">
      <w:pPr>
        <w:pStyle w:val="NormalWeb"/>
        <w:numPr>
          <w:ilvl w:val="0"/>
          <w:numId w:val="21"/>
        </w:numPr>
      </w:pPr>
      <w:r>
        <w:t xml:space="preserve">van Ede, A. E., et al. (2001). Effect of folic or folinic acid supplementation on the toxicity and efficacy of methotrexate in rheumatoid arthritis. </w:t>
      </w:r>
      <w:r>
        <w:rPr>
          <w:rStyle w:val="Emphasis"/>
          <w:rFonts w:eastAsiaTheme="majorEastAsia"/>
        </w:rPr>
        <w:t>Arthritis &amp; Rheumatism.</w:t>
      </w:r>
      <w:r>
        <w:t xml:space="preserve"> </w:t>
      </w:r>
      <w:hyperlink r:id="rId5" w:tgtFrame="_new" w:history="1">
        <w:r>
          <w:rPr>
            <w:rStyle w:val="Hyperlink"/>
            <w:rFonts w:eastAsiaTheme="majorEastAsia"/>
          </w:rPr>
          <w:t>https://pubmed.ncbi.nlm.nih.gov/11710709/</w:t>
        </w:r>
      </w:hyperlink>
    </w:p>
    <w:p w14:paraId="298F531D" w14:textId="77777777" w:rsidR="000C2C3C" w:rsidRDefault="000C2C3C" w:rsidP="000C2C3C">
      <w:pPr>
        <w:pStyle w:val="NormalWeb"/>
        <w:numPr>
          <w:ilvl w:val="0"/>
          <w:numId w:val="21"/>
        </w:numPr>
      </w:pPr>
      <w:r>
        <w:t xml:space="preserve">Bramley, D. (2021). What dose of folic acid to use with methotrexate in rheumatoid arthritis? </w:t>
      </w:r>
      <w:r>
        <w:rPr>
          <w:rStyle w:val="Emphasis"/>
          <w:rFonts w:eastAsiaTheme="majorEastAsia"/>
        </w:rPr>
        <w:t>Drug and Therapeutics Bulletin (BMJ).</w:t>
      </w:r>
      <w:r>
        <w:t xml:space="preserve"> </w:t>
      </w:r>
      <w:hyperlink r:id="rId6" w:tgtFrame="_new" w:history="1">
        <w:r>
          <w:rPr>
            <w:rStyle w:val="Hyperlink"/>
            <w:rFonts w:eastAsiaTheme="majorEastAsia"/>
          </w:rPr>
          <w:t>https://dtb.bmj.com/content/59/7/103</w:t>
        </w:r>
      </w:hyperlink>
    </w:p>
    <w:p w14:paraId="7A744C2F" w14:textId="77777777" w:rsidR="000C2C3C" w:rsidRDefault="000C2C3C" w:rsidP="000C2C3C">
      <w:pPr>
        <w:pStyle w:val="NormalWeb"/>
        <w:numPr>
          <w:ilvl w:val="0"/>
          <w:numId w:val="21"/>
        </w:numPr>
      </w:pPr>
      <w:r>
        <w:t xml:space="preserve">Visser, K., et al. (2009). Multinational evidence-based recommendations for the use of methotrexate in rheumatic disorders. </w:t>
      </w:r>
      <w:r>
        <w:rPr>
          <w:rStyle w:val="Emphasis"/>
          <w:rFonts w:eastAsiaTheme="majorEastAsia"/>
        </w:rPr>
        <w:t>Annals of the Rheumatic Diseases.</w:t>
      </w:r>
      <w:r>
        <w:t xml:space="preserve"> </w:t>
      </w:r>
      <w:hyperlink r:id="rId7" w:tgtFrame="_new" w:history="1">
        <w:r>
          <w:rPr>
            <w:rStyle w:val="Hyperlink"/>
            <w:rFonts w:eastAsiaTheme="majorEastAsia"/>
          </w:rPr>
          <w:t>https://ard.bmj.com/content/68/7/1086</w:t>
        </w:r>
      </w:hyperlink>
    </w:p>
    <w:p w14:paraId="5A9BA04F" w14:textId="77777777" w:rsidR="000C2C3C" w:rsidRDefault="000C2C3C" w:rsidP="000C2C3C">
      <w:pPr>
        <w:pStyle w:val="NormalWeb"/>
        <w:numPr>
          <w:ilvl w:val="0"/>
          <w:numId w:val="21"/>
        </w:numPr>
      </w:pPr>
      <w:r>
        <w:t xml:space="preserve">National Institute of Integrative Medicine (2023). Choosing Between Folinic Acid or Methylfolate for MTHFR: Best Options Explained. </w:t>
      </w:r>
      <w:hyperlink r:id="rId8" w:tgtFrame="_new" w:history="1">
        <w:r>
          <w:rPr>
            <w:rStyle w:val="Hyperlink"/>
            <w:rFonts w:eastAsiaTheme="majorEastAsia"/>
          </w:rPr>
          <w:t>https://mthfrgenehealth.au/choosing-between-folinic-acid-or-methylfolate-for-mthfr-best-options-explained-4/</w:t>
        </w:r>
      </w:hyperlink>
    </w:p>
    <w:p w14:paraId="5F5F93EE" w14:textId="77777777" w:rsidR="00950DD1" w:rsidRPr="00950DD1" w:rsidRDefault="00950DD1">
      <w:pPr>
        <w:rPr>
          <w:sz w:val="20"/>
          <w:szCs w:val="20"/>
        </w:rPr>
      </w:pPr>
    </w:p>
    <w:sectPr w:rsidR="00950DD1" w:rsidRPr="00950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243"/>
    <w:multiLevelType w:val="multilevel"/>
    <w:tmpl w:val="DCC4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0788"/>
    <w:multiLevelType w:val="multilevel"/>
    <w:tmpl w:val="376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1740D"/>
    <w:multiLevelType w:val="multilevel"/>
    <w:tmpl w:val="B0FC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777D5"/>
    <w:multiLevelType w:val="multilevel"/>
    <w:tmpl w:val="FCA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D6650"/>
    <w:multiLevelType w:val="multilevel"/>
    <w:tmpl w:val="A730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11F28"/>
    <w:multiLevelType w:val="multilevel"/>
    <w:tmpl w:val="FA86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2AC6"/>
    <w:multiLevelType w:val="multilevel"/>
    <w:tmpl w:val="2E7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F25E9"/>
    <w:multiLevelType w:val="multilevel"/>
    <w:tmpl w:val="150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32AF3"/>
    <w:multiLevelType w:val="multilevel"/>
    <w:tmpl w:val="BE5A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E266C"/>
    <w:multiLevelType w:val="multilevel"/>
    <w:tmpl w:val="711E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E18E0"/>
    <w:multiLevelType w:val="multilevel"/>
    <w:tmpl w:val="F62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B0203"/>
    <w:multiLevelType w:val="multilevel"/>
    <w:tmpl w:val="D46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3353E"/>
    <w:multiLevelType w:val="multilevel"/>
    <w:tmpl w:val="B412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806B2"/>
    <w:multiLevelType w:val="multilevel"/>
    <w:tmpl w:val="FBB4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554FB"/>
    <w:multiLevelType w:val="multilevel"/>
    <w:tmpl w:val="C66C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66B3F"/>
    <w:multiLevelType w:val="multilevel"/>
    <w:tmpl w:val="3140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62C74"/>
    <w:multiLevelType w:val="multilevel"/>
    <w:tmpl w:val="0D82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66284"/>
    <w:multiLevelType w:val="multilevel"/>
    <w:tmpl w:val="52B8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294703"/>
    <w:multiLevelType w:val="multilevel"/>
    <w:tmpl w:val="E13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55850"/>
    <w:multiLevelType w:val="multilevel"/>
    <w:tmpl w:val="9DC40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151996"/>
    <w:multiLevelType w:val="multilevel"/>
    <w:tmpl w:val="92D4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095105">
    <w:abstractNumId w:val="17"/>
  </w:num>
  <w:num w:numId="2" w16cid:durableId="1810248912">
    <w:abstractNumId w:val="15"/>
  </w:num>
  <w:num w:numId="3" w16cid:durableId="1537349804">
    <w:abstractNumId w:val="14"/>
  </w:num>
  <w:num w:numId="4" w16cid:durableId="826628175">
    <w:abstractNumId w:val="8"/>
  </w:num>
  <w:num w:numId="5" w16cid:durableId="301080893">
    <w:abstractNumId w:val="5"/>
  </w:num>
  <w:num w:numId="6" w16cid:durableId="1521892842">
    <w:abstractNumId w:val="2"/>
  </w:num>
  <w:num w:numId="7" w16cid:durableId="709109738">
    <w:abstractNumId w:val="20"/>
  </w:num>
  <w:num w:numId="8" w16cid:durableId="1250189078">
    <w:abstractNumId w:val="1"/>
  </w:num>
  <w:num w:numId="9" w16cid:durableId="1116561148">
    <w:abstractNumId w:val="4"/>
  </w:num>
  <w:num w:numId="10" w16cid:durableId="1546987140">
    <w:abstractNumId w:val="12"/>
  </w:num>
  <w:num w:numId="11" w16cid:durableId="612249822">
    <w:abstractNumId w:val="13"/>
  </w:num>
  <w:num w:numId="12" w16cid:durableId="254897200">
    <w:abstractNumId w:val="0"/>
  </w:num>
  <w:num w:numId="13" w16cid:durableId="2050759083">
    <w:abstractNumId w:val="10"/>
  </w:num>
  <w:num w:numId="14" w16cid:durableId="38093344">
    <w:abstractNumId w:val="6"/>
  </w:num>
  <w:num w:numId="15" w16cid:durableId="2052070249">
    <w:abstractNumId w:val="16"/>
  </w:num>
  <w:num w:numId="16" w16cid:durableId="2061318590">
    <w:abstractNumId w:val="11"/>
  </w:num>
  <w:num w:numId="17" w16cid:durableId="1563977906">
    <w:abstractNumId w:val="19"/>
  </w:num>
  <w:num w:numId="18" w16cid:durableId="966163710">
    <w:abstractNumId w:val="9"/>
  </w:num>
  <w:num w:numId="19" w16cid:durableId="1261182033">
    <w:abstractNumId w:val="18"/>
  </w:num>
  <w:num w:numId="20" w16cid:durableId="1721631342">
    <w:abstractNumId w:val="3"/>
  </w:num>
  <w:num w:numId="21" w16cid:durableId="1797213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3A"/>
    <w:rsid w:val="000A51E2"/>
    <w:rsid w:val="000C2C3C"/>
    <w:rsid w:val="0013673A"/>
    <w:rsid w:val="00196E4E"/>
    <w:rsid w:val="001F592C"/>
    <w:rsid w:val="00497D1B"/>
    <w:rsid w:val="005407CF"/>
    <w:rsid w:val="00593715"/>
    <w:rsid w:val="006B762E"/>
    <w:rsid w:val="00834AB5"/>
    <w:rsid w:val="008E1EB9"/>
    <w:rsid w:val="009001AE"/>
    <w:rsid w:val="00950DD1"/>
    <w:rsid w:val="00A608C9"/>
    <w:rsid w:val="00AA1B77"/>
    <w:rsid w:val="00B3493F"/>
    <w:rsid w:val="00B413B2"/>
    <w:rsid w:val="00FD5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1A2A"/>
  <w15:chartTrackingRefBased/>
  <w15:docId w15:val="{E95F873C-2931-492F-960E-C373ABBB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7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7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7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7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7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7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7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7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73A"/>
    <w:rPr>
      <w:rFonts w:eastAsiaTheme="majorEastAsia" w:cstheme="majorBidi"/>
      <w:color w:val="272727" w:themeColor="text1" w:themeTint="D8"/>
    </w:rPr>
  </w:style>
  <w:style w:type="paragraph" w:styleId="Title">
    <w:name w:val="Title"/>
    <w:basedOn w:val="Normal"/>
    <w:next w:val="Normal"/>
    <w:link w:val="TitleChar"/>
    <w:uiPriority w:val="10"/>
    <w:qFormat/>
    <w:rsid w:val="0013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73A"/>
    <w:pPr>
      <w:spacing w:before="160"/>
      <w:jc w:val="center"/>
    </w:pPr>
    <w:rPr>
      <w:i/>
      <w:iCs/>
      <w:color w:val="404040" w:themeColor="text1" w:themeTint="BF"/>
    </w:rPr>
  </w:style>
  <w:style w:type="character" w:customStyle="1" w:styleId="QuoteChar">
    <w:name w:val="Quote Char"/>
    <w:basedOn w:val="DefaultParagraphFont"/>
    <w:link w:val="Quote"/>
    <w:uiPriority w:val="29"/>
    <w:rsid w:val="0013673A"/>
    <w:rPr>
      <w:i/>
      <w:iCs/>
      <w:color w:val="404040" w:themeColor="text1" w:themeTint="BF"/>
    </w:rPr>
  </w:style>
  <w:style w:type="paragraph" w:styleId="ListParagraph">
    <w:name w:val="List Paragraph"/>
    <w:basedOn w:val="Normal"/>
    <w:uiPriority w:val="34"/>
    <w:qFormat/>
    <w:rsid w:val="0013673A"/>
    <w:pPr>
      <w:ind w:left="720"/>
      <w:contextualSpacing/>
    </w:pPr>
  </w:style>
  <w:style w:type="character" w:styleId="IntenseEmphasis">
    <w:name w:val="Intense Emphasis"/>
    <w:basedOn w:val="DefaultParagraphFont"/>
    <w:uiPriority w:val="21"/>
    <w:qFormat/>
    <w:rsid w:val="0013673A"/>
    <w:rPr>
      <w:i/>
      <w:iCs/>
      <w:color w:val="2F5496" w:themeColor="accent1" w:themeShade="BF"/>
    </w:rPr>
  </w:style>
  <w:style w:type="paragraph" w:styleId="IntenseQuote">
    <w:name w:val="Intense Quote"/>
    <w:basedOn w:val="Normal"/>
    <w:next w:val="Normal"/>
    <w:link w:val="IntenseQuoteChar"/>
    <w:uiPriority w:val="30"/>
    <w:qFormat/>
    <w:rsid w:val="00136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73A"/>
    <w:rPr>
      <w:i/>
      <w:iCs/>
      <w:color w:val="2F5496" w:themeColor="accent1" w:themeShade="BF"/>
    </w:rPr>
  </w:style>
  <w:style w:type="character" w:styleId="IntenseReference">
    <w:name w:val="Intense Reference"/>
    <w:basedOn w:val="DefaultParagraphFont"/>
    <w:uiPriority w:val="32"/>
    <w:qFormat/>
    <w:rsid w:val="0013673A"/>
    <w:rPr>
      <w:b/>
      <w:bCs/>
      <w:smallCaps/>
      <w:color w:val="2F5496" w:themeColor="accent1" w:themeShade="BF"/>
      <w:spacing w:val="5"/>
    </w:rPr>
  </w:style>
  <w:style w:type="paragraph" w:styleId="NormalWeb">
    <w:name w:val="Normal (Web)"/>
    <w:basedOn w:val="Normal"/>
    <w:uiPriority w:val="99"/>
    <w:unhideWhenUsed/>
    <w:rsid w:val="00196E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196E4E"/>
    <w:rPr>
      <w:b/>
      <w:bCs/>
    </w:rPr>
  </w:style>
  <w:style w:type="character" w:styleId="Emphasis">
    <w:name w:val="Emphasis"/>
    <w:basedOn w:val="DefaultParagraphFont"/>
    <w:uiPriority w:val="20"/>
    <w:qFormat/>
    <w:rsid w:val="000C2C3C"/>
    <w:rPr>
      <w:i/>
      <w:iCs/>
    </w:rPr>
  </w:style>
  <w:style w:type="character" w:styleId="Hyperlink">
    <w:name w:val="Hyperlink"/>
    <w:basedOn w:val="DefaultParagraphFont"/>
    <w:uiPriority w:val="99"/>
    <w:semiHidden/>
    <w:unhideWhenUsed/>
    <w:rsid w:val="000C2C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hfrgenehealth.au/choosing-between-folinic-acid-or-methylfolate-for-mthfr-best-options-explained-4/" TargetMode="External"/><Relationship Id="rId3" Type="http://schemas.openxmlformats.org/officeDocument/2006/relationships/settings" Target="settings.xml"/><Relationship Id="rId7" Type="http://schemas.openxmlformats.org/officeDocument/2006/relationships/hyperlink" Target="https://ard.bmj.com/content/68/7/1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tb.bmj.com/content/59/7/103" TargetMode="External"/><Relationship Id="rId5" Type="http://schemas.openxmlformats.org/officeDocument/2006/relationships/hyperlink" Target="https://pubmed.ncbi.nlm.nih.gov/117107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studley</dc:creator>
  <cp:keywords/>
  <dc:description/>
  <cp:lastModifiedBy>jodie studley</cp:lastModifiedBy>
  <cp:revision>4</cp:revision>
  <dcterms:created xsi:type="dcterms:W3CDTF">2025-09-19T06:19:00Z</dcterms:created>
  <dcterms:modified xsi:type="dcterms:W3CDTF">2025-09-20T15:21:00Z</dcterms:modified>
</cp:coreProperties>
</file>