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C284A" w14:textId="77777777" w:rsidR="00CF7F47" w:rsidRDefault="00000000" w:rsidP="00CB2400">
      <w:pPr>
        <w:pStyle w:val="Heading3"/>
        <w:spacing w:line="360" w:lineRule="auto"/>
      </w:pPr>
      <w:bookmarkStart w:id="0" w:name="X0ce3e1ebdafb6eb8915bde6356a93a20397dbf0"/>
      <w:r>
        <w:t>Hypothesised Mechanism: Trauma, Vaccine Response, and Chronic Pain Above Right Eye</w:t>
      </w:r>
    </w:p>
    <w:p w14:paraId="15D2531C" w14:textId="01D0EE04" w:rsidR="00CF7F47" w:rsidRDefault="00CF7F47" w:rsidP="00CB2400">
      <w:pPr>
        <w:spacing w:line="360" w:lineRule="auto"/>
      </w:pPr>
    </w:p>
    <w:p w14:paraId="40CB23CD" w14:textId="77777777" w:rsidR="00CF7F47" w:rsidRDefault="00000000" w:rsidP="00CB2400">
      <w:pPr>
        <w:pStyle w:val="Heading4"/>
        <w:spacing w:line="360" w:lineRule="auto"/>
      </w:pPr>
      <w:bookmarkStart w:id="1" w:name="Xda2c06381d7fc1972c8e3ea01547d49f380bf83"/>
      <w:r>
        <w:rPr>
          <w:b/>
          <w:bCs/>
        </w:rPr>
        <w:t>1. Pre-existing Vulnerability: Trauma and Glial Priming</w:t>
      </w:r>
    </w:p>
    <w:p w14:paraId="4C294604" w14:textId="77777777" w:rsidR="00CF7F47" w:rsidRDefault="00000000" w:rsidP="00CB2400">
      <w:pPr>
        <w:pStyle w:val="Compact"/>
        <w:numPr>
          <w:ilvl w:val="0"/>
          <w:numId w:val="2"/>
        </w:numPr>
        <w:spacing w:line="360" w:lineRule="auto"/>
      </w:pPr>
      <w:r>
        <w:t>Two severe miscarriages created an extended state of psychological and physiological trauma.</w:t>
      </w:r>
    </w:p>
    <w:p w14:paraId="666FD96C" w14:textId="77777777" w:rsidR="00CF7F47" w:rsidRDefault="00000000" w:rsidP="00CB2400">
      <w:pPr>
        <w:pStyle w:val="Compact"/>
        <w:numPr>
          <w:ilvl w:val="0"/>
          <w:numId w:val="2"/>
        </w:numPr>
        <w:spacing w:line="360" w:lineRule="auto"/>
      </w:pPr>
      <w:r>
        <w:t>Chronic activation of the HPA axis (cortisol, adrenaline) led to prolonged microglial and astrocyte activation.</w:t>
      </w:r>
    </w:p>
    <w:p w14:paraId="6BF4F97F" w14:textId="77777777" w:rsidR="00CF7F47" w:rsidRDefault="00000000" w:rsidP="00CB2400">
      <w:pPr>
        <w:pStyle w:val="Compact"/>
        <w:numPr>
          <w:ilvl w:val="0"/>
          <w:numId w:val="2"/>
        </w:numPr>
        <w:spacing w:line="360" w:lineRule="auto"/>
      </w:pPr>
      <w:r>
        <w:t>This established a sensitised neural environment: glial cells in the CNS were primed to overreact to subsequent immune or emotional stressors.</w:t>
      </w:r>
    </w:p>
    <w:p w14:paraId="3014613E" w14:textId="4747B6A4" w:rsidR="00CF7F47" w:rsidRDefault="00CF7F47" w:rsidP="00CB2400">
      <w:pPr>
        <w:spacing w:line="360" w:lineRule="auto"/>
      </w:pPr>
    </w:p>
    <w:p w14:paraId="18E354C7" w14:textId="77777777" w:rsidR="00CF7F47" w:rsidRDefault="00000000" w:rsidP="00CB2400">
      <w:pPr>
        <w:pStyle w:val="Heading4"/>
        <w:spacing w:line="360" w:lineRule="auto"/>
      </w:pPr>
      <w:bookmarkStart w:id="2" w:name="X9493936cea7c58773664f6f36b8b274c9d63124"/>
      <w:bookmarkEnd w:id="1"/>
      <w:r>
        <w:rPr>
          <w:b/>
          <w:bCs/>
        </w:rPr>
        <w:t>2. Immune Activation: COVID-19 Vaccination During Pregnancy</w:t>
      </w:r>
    </w:p>
    <w:p w14:paraId="6438142F" w14:textId="77777777" w:rsidR="00CF7F47" w:rsidRDefault="00000000" w:rsidP="00CB2400">
      <w:pPr>
        <w:pStyle w:val="Compact"/>
        <w:numPr>
          <w:ilvl w:val="0"/>
          <w:numId w:val="3"/>
        </w:numPr>
        <w:spacing w:line="360" w:lineRule="auto"/>
      </w:pPr>
      <w:r>
        <w:t>The Pfizer mRNA vaccine stimulated an expected systemic immune response (cytokine release, antigen presentation).</w:t>
      </w:r>
    </w:p>
    <w:p w14:paraId="566B2A43" w14:textId="77777777" w:rsidR="00CF7F47" w:rsidRDefault="00000000" w:rsidP="00CB2400">
      <w:pPr>
        <w:pStyle w:val="Compact"/>
        <w:numPr>
          <w:ilvl w:val="0"/>
          <w:numId w:val="3"/>
        </w:numPr>
        <w:spacing w:line="360" w:lineRule="auto"/>
      </w:pPr>
      <w:r>
        <w:t>In an already hypervigilant system, this immune activation may have been amplified.</w:t>
      </w:r>
    </w:p>
    <w:p w14:paraId="6841285A" w14:textId="77777777" w:rsidR="00CF7F47" w:rsidRDefault="00000000" w:rsidP="00CB2400">
      <w:pPr>
        <w:pStyle w:val="Compact"/>
        <w:numPr>
          <w:ilvl w:val="0"/>
          <w:numId w:val="3"/>
        </w:numPr>
        <w:spacing w:line="360" w:lineRule="auto"/>
      </w:pPr>
      <w:r>
        <w:t>The interaction between vaccine-induced cytokines and primed glial cells may have intensified neuroinflammatory signalling.</w:t>
      </w:r>
    </w:p>
    <w:p w14:paraId="26B5E0A2" w14:textId="77777777" w:rsidR="00CF7F47" w:rsidRDefault="00000000" w:rsidP="00CB2400">
      <w:pPr>
        <w:pStyle w:val="Compact"/>
        <w:numPr>
          <w:ilvl w:val="0"/>
          <w:numId w:val="3"/>
        </w:numPr>
        <w:spacing w:line="360" w:lineRule="auto"/>
      </w:pPr>
      <w:r>
        <w:t>Potential blood-brain barrier permeability changes could have allowed temporary immune cross-talk within trigeminal and brainstem pathways.</w:t>
      </w:r>
    </w:p>
    <w:p w14:paraId="2A777BD2" w14:textId="25368B59" w:rsidR="00CF7F47" w:rsidRDefault="00CF7F47" w:rsidP="00CB2400">
      <w:pPr>
        <w:spacing w:line="360" w:lineRule="auto"/>
      </w:pPr>
    </w:p>
    <w:p w14:paraId="44D60061" w14:textId="77777777" w:rsidR="00CF7F47" w:rsidRDefault="00000000" w:rsidP="00CB2400">
      <w:pPr>
        <w:pStyle w:val="Heading4"/>
        <w:spacing w:line="360" w:lineRule="auto"/>
      </w:pPr>
      <w:bookmarkStart w:id="3" w:name="localisation-trigeminal-sensitisation"/>
      <w:bookmarkEnd w:id="2"/>
      <w:r>
        <w:rPr>
          <w:b/>
          <w:bCs/>
        </w:rPr>
        <w:t>3. Localisation: Trigeminal Sensitisation</w:t>
      </w:r>
    </w:p>
    <w:p w14:paraId="60D961F4" w14:textId="77777777" w:rsidR="00CF7F47" w:rsidRPr="00CB2400" w:rsidRDefault="00000000" w:rsidP="00CB2400">
      <w:pPr>
        <w:pStyle w:val="Compact"/>
        <w:numPr>
          <w:ilvl w:val="0"/>
          <w:numId w:val="4"/>
        </w:numPr>
        <w:spacing w:line="360" w:lineRule="auto"/>
      </w:pPr>
      <w:r>
        <w:t xml:space="preserve">The pain above the right eye corresponds to the </w:t>
      </w:r>
      <w:r w:rsidRPr="00CB2400">
        <w:t>ophthalmic branch of the trigeminal nerve (V1), especially the supraorbital nerve.</w:t>
      </w:r>
    </w:p>
    <w:p w14:paraId="0E8FA9E1" w14:textId="77777777" w:rsidR="00CF7F47" w:rsidRDefault="00000000" w:rsidP="00CB2400">
      <w:pPr>
        <w:pStyle w:val="Compact"/>
        <w:numPr>
          <w:ilvl w:val="0"/>
          <w:numId w:val="4"/>
        </w:numPr>
        <w:spacing w:line="360" w:lineRule="auto"/>
      </w:pPr>
      <w:r>
        <w:t>Microglial activation within the trigeminal nucleus caudalis could maintain central sensitisation, leading to ongoing supraorbital or retro-orbital pain.</w:t>
      </w:r>
    </w:p>
    <w:p w14:paraId="3874E738" w14:textId="77777777" w:rsidR="00CF7F47" w:rsidRDefault="00000000" w:rsidP="00CB2400">
      <w:pPr>
        <w:pStyle w:val="Compact"/>
        <w:numPr>
          <w:ilvl w:val="0"/>
          <w:numId w:val="4"/>
        </w:numPr>
        <w:spacing w:line="360" w:lineRule="auto"/>
      </w:pPr>
      <w:r>
        <w:lastRenderedPageBreak/>
        <w:t>Recurrent activation of this circuit by stress, fatigue, or emotional triggers perpetuates the pain cycle.</w:t>
      </w:r>
    </w:p>
    <w:p w14:paraId="77D717F2" w14:textId="388C90AD" w:rsidR="00CF7F47" w:rsidRDefault="00CF7F47" w:rsidP="00CB2400">
      <w:pPr>
        <w:spacing w:line="360" w:lineRule="auto"/>
      </w:pPr>
    </w:p>
    <w:p w14:paraId="11BE9F7F" w14:textId="77777777" w:rsidR="00CF7F47" w:rsidRDefault="00000000" w:rsidP="00CB2400">
      <w:pPr>
        <w:pStyle w:val="Heading4"/>
        <w:spacing w:line="360" w:lineRule="auto"/>
      </w:pPr>
      <w:bookmarkStart w:id="4" w:name="maintenance-factors"/>
      <w:bookmarkEnd w:id="3"/>
      <w:r>
        <w:rPr>
          <w:b/>
          <w:bCs/>
        </w:rPr>
        <w:t>4. Maintenance Factors</w:t>
      </w:r>
    </w:p>
    <w:p w14:paraId="58F972EC" w14:textId="77777777" w:rsidR="00CF7F47" w:rsidRDefault="00000000" w:rsidP="00CB2400">
      <w:pPr>
        <w:pStyle w:val="Compact"/>
        <w:numPr>
          <w:ilvl w:val="0"/>
          <w:numId w:val="5"/>
        </w:numPr>
        <w:spacing w:line="360" w:lineRule="auto"/>
      </w:pPr>
      <w:r>
        <w:rPr>
          <w:b/>
          <w:bCs/>
        </w:rPr>
        <w:t>Stress and Sleep Loss:</w:t>
      </w:r>
      <w:r>
        <w:t xml:space="preserve"> Elevate cytokines (IL-6, TNF-α) and cortisol, reactivating glial cells.</w:t>
      </w:r>
    </w:p>
    <w:p w14:paraId="74BAB2E1" w14:textId="77777777" w:rsidR="00CF7F47" w:rsidRDefault="00000000" w:rsidP="00CB2400">
      <w:pPr>
        <w:pStyle w:val="Compact"/>
        <w:numPr>
          <w:ilvl w:val="0"/>
          <w:numId w:val="5"/>
        </w:numPr>
        <w:spacing w:line="360" w:lineRule="auto"/>
      </w:pPr>
      <w:r>
        <w:rPr>
          <w:b/>
          <w:bCs/>
        </w:rPr>
        <w:t>Autonomic Dysregulation:</w:t>
      </w:r>
      <w:r>
        <w:t xml:space="preserve"> Reduced vagal tone and sympathetic dominance sustain low-grade neuroinflammation.</w:t>
      </w:r>
    </w:p>
    <w:p w14:paraId="396D5833" w14:textId="77777777" w:rsidR="00CF7F47" w:rsidRDefault="00000000" w:rsidP="00CB2400">
      <w:pPr>
        <w:pStyle w:val="Compact"/>
        <w:numPr>
          <w:ilvl w:val="0"/>
          <w:numId w:val="5"/>
        </w:numPr>
        <w:spacing w:line="360" w:lineRule="auto"/>
      </w:pPr>
      <w:r>
        <w:rPr>
          <w:b/>
          <w:bCs/>
        </w:rPr>
        <w:t>Emotional Memory:</w:t>
      </w:r>
      <w:r>
        <w:t xml:space="preserve"> Limbic structures (amygdala, hippocampus) reinforce vigilance and pain perception through conditioned neural loops.</w:t>
      </w:r>
    </w:p>
    <w:p w14:paraId="32DD7D1C" w14:textId="0397114C" w:rsidR="00CF7F47" w:rsidRDefault="00CF7F47" w:rsidP="00CB2400">
      <w:pPr>
        <w:spacing w:line="360" w:lineRule="auto"/>
      </w:pPr>
    </w:p>
    <w:p w14:paraId="76157A2E" w14:textId="77777777" w:rsidR="00CF7F47" w:rsidRDefault="00000000" w:rsidP="00CB2400">
      <w:pPr>
        <w:pStyle w:val="Heading4"/>
        <w:spacing w:line="360" w:lineRule="auto"/>
      </w:pPr>
      <w:bookmarkStart w:id="5" w:name="clinical-implications"/>
      <w:bookmarkEnd w:id="4"/>
      <w:r>
        <w:rPr>
          <w:b/>
          <w:bCs/>
        </w:rPr>
        <w:t>5. Clinical Implications</w:t>
      </w:r>
    </w:p>
    <w:p w14:paraId="30FD1CD7" w14:textId="714D480C" w:rsidR="00CF7F47" w:rsidRDefault="00000000" w:rsidP="00CB2400">
      <w:pPr>
        <w:pStyle w:val="Compact"/>
        <w:numPr>
          <w:ilvl w:val="0"/>
          <w:numId w:val="6"/>
        </w:numPr>
        <w:spacing w:line="360" w:lineRule="auto"/>
      </w:pPr>
      <w:r>
        <w:t xml:space="preserve">The persistence of pain for four years suggests glial priming and neuroimmune </w:t>
      </w:r>
      <w:proofErr w:type="spellStart"/>
      <w:r>
        <w:t>sensitisation</w:t>
      </w:r>
      <w:proofErr w:type="spellEnd"/>
      <w:r>
        <w:t>.</w:t>
      </w:r>
    </w:p>
    <w:p w14:paraId="79482DC2" w14:textId="77777777" w:rsidR="00CF7F47" w:rsidRDefault="00000000" w:rsidP="00CB2400">
      <w:pPr>
        <w:pStyle w:val="Compact"/>
        <w:numPr>
          <w:ilvl w:val="0"/>
          <w:numId w:val="6"/>
        </w:numPr>
        <w:spacing w:line="360" w:lineRule="auto"/>
      </w:pPr>
      <w:r>
        <w:t>Interventions might include:</w:t>
      </w:r>
    </w:p>
    <w:p w14:paraId="61105A85" w14:textId="77777777" w:rsidR="00CF7F47" w:rsidRDefault="00000000" w:rsidP="00CB2400">
      <w:pPr>
        <w:pStyle w:val="Compact"/>
        <w:numPr>
          <w:ilvl w:val="1"/>
          <w:numId w:val="7"/>
        </w:numPr>
        <w:spacing w:line="360" w:lineRule="auto"/>
      </w:pPr>
      <w:r>
        <w:rPr>
          <w:b/>
          <w:bCs/>
        </w:rPr>
        <w:t>Neurological review</w:t>
      </w:r>
      <w:r>
        <w:t xml:space="preserve"> (rule out supraorbital neuralgia, vascular origin)</w:t>
      </w:r>
    </w:p>
    <w:p w14:paraId="4B6D81A6" w14:textId="77777777" w:rsidR="00CF7F47" w:rsidRDefault="00000000" w:rsidP="00CB2400">
      <w:pPr>
        <w:pStyle w:val="Compact"/>
        <w:numPr>
          <w:ilvl w:val="1"/>
          <w:numId w:val="7"/>
        </w:numPr>
        <w:spacing w:line="360" w:lineRule="auto"/>
      </w:pPr>
      <w:r>
        <w:rPr>
          <w:b/>
          <w:bCs/>
        </w:rPr>
        <w:t>Autonomic recalibration</w:t>
      </w:r>
      <w:r>
        <w:t xml:space="preserve"> (breathwork, vagal stimulation, biofeedback)</w:t>
      </w:r>
    </w:p>
    <w:p w14:paraId="43139545" w14:textId="77777777" w:rsidR="00CF7F47" w:rsidRDefault="00000000" w:rsidP="00CB2400">
      <w:pPr>
        <w:pStyle w:val="Compact"/>
        <w:numPr>
          <w:ilvl w:val="1"/>
          <w:numId w:val="7"/>
        </w:numPr>
        <w:spacing w:line="360" w:lineRule="auto"/>
      </w:pPr>
      <w:r>
        <w:rPr>
          <w:b/>
          <w:bCs/>
        </w:rPr>
        <w:t>Anti-inflammatory modulation</w:t>
      </w:r>
      <w:r>
        <w:t xml:space="preserve"> (omega-3s, curcumin, magnesium, diet)</w:t>
      </w:r>
    </w:p>
    <w:p w14:paraId="61525B58" w14:textId="77777777" w:rsidR="00CF7F47" w:rsidRDefault="00000000" w:rsidP="00CB2400">
      <w:pPr>
        <w:pStyle w:val="Compact"/>
        <w:numPr>
          <w:ilvl w:val="1"/>
          <w:numId w:val="7"/>
        </w:numPr>
        <w:spacing w:line="360" w:lineRule="auto"/>
      </w:pPr>
      <w:r>
        <w:rPr>
          <w:b/>
          <w:bCs/>
        </w:rPr>
        <w:t>Neuroplasticity and trauma processing</w:t>
      </w:r>
      <w:r>
        <w:t xml:space="preserve"> (somatic work, limbic retraining, psychotherapy)</w:t>
      </w:r>
    </w:p>
    <w:p w14:paraId="2F8732A9" w14:textId="77777777" w:rsidR="00CF7F47" w:rsidRDefault="00000000" w:rsidP="00CB2400">
      <w:pPr>
        <w:pStyle w:val="Compact"/>
        <w:numPr>
          <w:ilvl w:val="1"/>
          <w:numId w:val="7"/>
        </w:numPr>
        <w:spacing w:line="360" w:lineRule="auto"/>
      </w:pPr>
      <w:r>
        <w:rPr>
          <w:b/>
          <w:bCs/>
        </w:rPr>
        <w:t>Sleep and circadian repair</w:t>
      </w:r>
      <w:r>
        <w:t xml:space="preserve"> to downregulate microglial reactivity</w:t>
      </w:r>
    </w:p>
    <w:p w14:paraId="70AF4240" w14:textId="557F38EB" w:rsidR="00CF7F47" w:rsidRDefault="00CF7F47" w:rsidP="00CB2400">
      <w:pPr>
        <w:spacing w:line="360" w:lineRule="auto"/>
      </w:pPr>
    </w:p>
    <w:p w14:paraId="37487214" w14:textId="77777777" w:rsidR="00CB2400" w:rsidRDefault="00CB2400">
      <w:pPr>
        <w:rPr>
          <w:rFonts w:eastAsiaTheme="majorEastAsia" w:cstheme="majorBidi"/>
          <w:b/>
          <w:bCs/>
          <w:i/>
          <w:iCs/>
          <w:color w:val="0F4761" w:themeColor="accent1" w:themeShade="BF"/>
        </w:rPr>
      </w:pPr>
      <w:bookmarkStart w:id="6" w:name="summary-model"/>
      <w:bookmarkEnd w:id="5"/>
      <w:r>
        <w:rPr>
          <w:b/>
          <w:bCs/>
        </w:rPr>
        <w:br w:type="page"/>
      </w:r>
    </w:p>
    <w:p w14:paraId="0E8D8EAF" w14:textId="72941DCF" w:rsidR="00CF7F47" w:rsidRDefault="00000000" w:rsidP="00CB2400">
      <w:pPr>
        <w:pStyle w:val="Heading4"/>
        <w:spacing w:line="360" w:lineRule="auto"/>
      </w:pPr>
      <w:r>
        <w:rPr>
          <w:b/>
          <w:bCs/>
        </w:rPr>
        <w:lastRenderedPageBreak/>
        <w:t>Summary Model</w:t>
      </w:r>
    </w:p>
    <w:p w14:paraId="67A785BF" w14:textId="77777777" w:rsidR="00CF7F47" w:rsidRDefault="00000000" w:rsidP="00CB2400">
      <w:pPr>
        <w:pStyle w:val="SourceCode"/>
        <w:spacing w:line="360" w:lineRule="auto"/>
      </w:pPr>
      <w:r>
        <w:rPr>
          <w:rStyle w:val="VerbatimChar"/>
        </w:rPr>
        <w:t>Trauma → HPA Dysregulation → Glial Priming → Vaccine-Induced Immune Surge</w:t>
      </w:r>
      <w:r>
        <w:br/>
      </w:r>
      <w:r>
        <w:rPr>
          <w:rStyle w:val="VerbatimChar"/>
        </w:rPr>
        <w:t xml:space="preserve">      ↓                                 ↓</w:t>
      </w:r>
      <w:r>
        <w:br/>
      </w:r>
      <w:r>
        <w:rPr>
          <w:rStyle w:val="VerbatimChar"/>
        </w:rPr>
        <w:t xml:space="preserve"> Autonomic Instability ← Neuroinflammation ← Cytokine Amplification</w:t>
      </w:r>
      <w:r>
        <w:br/>
      </w:r>
      <w:r>
        <w:rPr>
          <w:rStyle w:val="VerbatimChar"/>
        </w:rPr>
        <w:t xml:space="preserve">      ↓</w:t>
      </w:r>
      <w:r>
        <w:br/>
      </w:r>
      <w:r>
        <w:rPr>
          <w:rStyle w:val="VerbatimChar"/>
        </w:rPr>
        <w:t xml:space="preserve"> Trigeminal Sensitisation → Persistent Pain Above Right Eye (4 years)</w:t>
      </w:r>
    </w:p>
    <w:p w14:paraId="20C2D6BE" w14:textId="77777777" w:rsidR="00CF7F47" w:rsidRDefault="00000000" w:rsidP="00CB2400">
      <w:pPr>
        <w:pStyle w:val="FirstParagraph"/>
        <w:spacing w:line="360" w:lineRule="auto"/>
      </w:pPr>
      <w:r>
        <w:t>This model integrates psychoneuroimmunology and neuroinflammatory mechanisms to explain chronic localised pain following vaccination in the context of prior trauma and ongoing stress dysregulation.</w:t>
      </w:r>
      <w:bookmarkEnd w:id="0"/>
      <w:bookmarkEnd w:id="6"/>
    </w:p>
    <w:sectPr w:rsidR="00CF7F47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C12EA78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DC98465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72768843">
    <w:abstractNumId w:val="0"/>
  </w:num>
  <w:num w:numId="2" w16cid:durableId="990982112">
    <w:abstractNumId w:val="1"/>
  </w:num>
  <w:num w:numId="3" w16cid:durableId="1169979481">
    <w:abstractNumId w:val="1"/>
  </w:num>
  <w:num w:numId="4" w16cid:durableId="1600139598">
    <w:abstractNumId w:val="1"/>
  </w:num>
  <w:num w:numId="5" w16cid:durableId="1030646276">
    <w:abstractNumId w:val="1"/>
  </w:num>
  <w:num w:numId="6" w16cid:durableId="135798888">
    <w:abstractNumId w:val="1"/>
  </w:num>
  <w:num w:numId="7" w16cid:durableId="1763720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F47"/>
    <w:rsid w:val="001C760A"/>
    <w:rsid w:val="00473882"/>
    <w:rsid w:val="00880394"/>
    <w:rsid w:val="00A13807"/>
    <w:rsid w:val="00CB2400"/>
    <w:rsid w:val="00C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DE663"/>
  <w15:docId w15:val="{4133996F-7A90-4B31-B501-011303D8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Dutton</dc:creator>
  <cp:keywords/>
  <cp:lastModifiedBy>Rachel Dutton</cp:lastModifiedBy>
  <cp:revision>3</cp:revision>
  <dcterms:created xsi:type="dcterms:W3CDTF">2025-11-07T06:11:00Z</dcterms:created>
  <dcterms:modified xsi:type="dcterms:W3CDTF">2025-11-07T06:13:00Z</dcterms:modified>
</cp:coreProperties>
</file>